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Cs w:val="24"/>
        </w:rPr>
      </w:pPr>
      <w:bookmarkStart w:id="0" w:name="_GoBack"/>
      <w:bookmarkEnd w:id="0"/>
      <w:r>
        <w:rPr>
          <w:b/>
          <w:szCs w:val="24"/>
        </w:rPr>
        <w:t>Promotor w Szkole Doktorskiej KUL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tbl>
      <w:tblPr>
        <w:tblW w:w="9060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67"/>
        <w:gridCol w:w="5092"/>
      </w:tblGrid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b/>
                <w:b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szCs w:val="24"/>
                <w:lang w:val="pl-PL" w:eastAsia="pl-PL" w:bidi="ar-SA"/>
              </w:rPr>
              <w:t>Sylwetka naukowa promotora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Imię i nazwisko, stopień, tytuł naukowy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Ewa Agnieszka lekka-Kowalik, dr hab., prof. KUL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Dyscyplina naukowa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>
              <w:rPr>
                <w:rFonts w:eastAsia="Times New Roman" w:cs="Times New Roman"/>
                <w:sz w:val="20"/>
                <w:lang w:val="pl-PL" w:eastAsia="pl-PL" w:bidi="ar-SA"/>
              </w:rPr>
              <w:t>(zgodnie z wykazem dyscyplin, w których kształci Szkoła Doktorska KUL)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filozofia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Profil naukowy: adres osobistej strony www, profilu Research Gate lub profilu Academia.edu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Czeinternetowe"/>
                <w:szCs w:val="24"/>
              </w:rPr>
            </w:pPr>
            <w:hyperlink r:id="rId2">
              <w:r>
                <w:rPr>
                  <w:rStyle w:val="Czeinternetowe"/>
                  <w:szCs w:val="24"/>
                </w:rPr>
                <w:t>https://www.kul.pl/ewa-agnieszka-lekka-kowalik,12832.html</w:t>
              </w:r>
            </w:hyperlink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hyperlink r:id="rId3">
              <w:r>
                <w:rPr>
                  <w:rStyle w:val="Czeinternetowe"/>
                  <w:szCs w:val="24"/>
                </w:rPr>
                <w:t>https://www.researchgate.net/profile/Agnieszka-Lekka-Kowalik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Zainteresowania naukowe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>
              <w:rPr>
                <w:rFonts w:eastAsia="Times New Roman" w:cs="Times New Roman"/>
                <w:sz w:val="20"/>
                <w:lang w:val="pl-PL" w:eastAsia="pl-PL" w:bidi="ar-SA"/>
              </w:rPr>
              <w:t>(obszary, w których promotor prowadzi aktualnie badania naukowe)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Filozofia nauki, filozofia techniki, etyka nauki, etyka techniki, etyka informatycza, filozofia uniwersytetu, nauka-religia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Trzy najważniejsze publikacje z ostatnich czterech lat kalendarzowych (2017-2020)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1) “Who am I? An Answer of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Ratio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and an Answer of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Fides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” w: Anna Jani and Balázs M. Mezei (Hg.),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Fides and Ratio im Kontext: Theologische und Philosophische Annäherungen,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 Verlag Traugott Bautz GmbH, Nordhausen 2020, 98-113.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2) Rational technology assessment in need of a philosophical framework, “Zeszyty naukowe Politechniki Śląskiej. Organizacja i Zarządzanie”, z. 115, 2018, 219-231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 xml:space="preserve">3) Rational decisions and wise decisions – two names for the same thing?, in: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en-US" w:eastAsia="ar-SA"/>
              </w:rPr>
              <w:t>Rationality and Decision Making: From Normative Rules to Heuristics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 w:eastAsia="ar-SA"/>
              </w:rPr>
              <w:t xml:space="preserve"> (Poznań Studies in the Philosophy of the Sciences and the Humanities, vol. 111), ed. by M. Hetmański, Brill-Rodopi, Leiden &amp; Boston 2018, s. 181-193.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36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4) Obviously there exists an organic connection between independence and university, and between independence and “catholicity”,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 xml:space="preserve">The Person and the Challenges,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 w:eastAsia="ar-SA"/>
              </w:rPr>
              <w:t>9(2019), no 1,  239-248 (z Tomaszem Górką).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Najważniejsze granty, w tym: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Kierownik grantu (max 3)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360" w:leader="none"/>
              </w:tabs>
              <w:spacing w:lineRule="atLeast" w:line="100" w:before="160" w:after="0"/>
              <w:ind w:left="0" w:right="0" w:hanging="0"/>
              <w:jc w:val="both"/>
              <w:rPr>
                <w:rFonts w:eastAsia="Dutch 801Roman" w:cs="Dutch 801Roman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Fonts w:eastAsia="Dutch 801Roman" w:cs="Dutch 801Roman"/>
                <w:color w:val="000000"/>
                <w:sz w:val="24"/>
                <w:szCs w:val="24"/>
                <w:lang w:eastAsia="ar-SA"/>
              </w:rPr>
              <w:t xml:space="preserve">Grant </w:t>
            </w:r>
            <w:r>
              <w:rPr>
                <w:rFonts w:eastAsia="Dutch 801Roman" w:cs="Dutch 801Roman"/>
                <w:i/>
                <w:iCs/>
                <w:color w:val="000000"/>
                <w:sz w:val="24"/>
                <w:szCs w:val="24"/>
                <w:lang w:eastAsia="ar-SA"/>
              </w:rPr>
              <w:t>Swiss National Fund</w:t>
            </w:r>
            <w:r>
              <w:rPr>
                <w:rFonts w:eastAsia="Dutch 801Roman" w:cs="Dutch 801Roman"/>
                <w:color w:val="000000"/>
                <w:sz w:val="24"/>
                <w:szCs w:val="24"/>
                <w:lang w:eastAsia="ar-SA"/>
              </w:rPr>
              <w:t xml:space="preserve"> na realizację własnego projektu badawczego pt. „Etyczny Wymiar Nauki i Techniki: pytanie o istnienie `wiedzy zakazanej'” (realizowanego na Uniwersytecie Kantonalnym w Neuchâtel w Szwajcarii. </w:t>
            </w:r>
            <w:r>
              <w:rPr>
                <w:rFonts w:eastAsia="Dutch 801Roman" w:cs="Dutch 801Roman"/>
                <w:color w:val="000000"/>
                <w:sz w:val="24"/>
                <w:szCs w:val="24"/>
                <w:shd w:fill="FFFFFF" w:val="clear"/>
                <w:lang w:eastAsia="ar-SA"/>
              </w:rPr>
              <w:t>(NF 11114-037634.93 oraz 113-043340.95)</w:t>
            </w:r>
          </w:p>
          <w:p>
            <w:pPr>
              <w:pStyle w:val="Pa5"/>
              <w:widowControl w:val="false"/>
              <w:tabs>
                <w:tab w:val="clear" w:pos="709"/>
                <w:tab w:val="left" w:pos="12240" w:leader="none"/>
              </w:tabs>
              <w:spacing w:lineRule="atLeast" w:line="200" w:before="160" w:after="0"/>
              <w:ind w:left="0" w:right="0" w:hanging="0"/>
              <w:jc w:val="both"/>
              <w:rPr>
                <w:rStyle w:val="Mocnowyrniony"/>
                <w:rFonts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Style w:val="Mocnowyrniony"/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ar-SA"/>
              </w:rPr>
              <w:t>„</w:t>
            </w:r>
            <w:r>
              <w:rPr>
                <w:rStyle w:val="Mocnowyrniony"/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ar-SA"/>
              </w:rPr>
              <w:t>Building a Research Platform upon a Dialogue on Science, Ethics and  Religion”, współfinansowany przez Towarzystwo Przyjaciół KUL oraz University Massachusetts Boston (po stronie amerykańskiej kierownik: prof. John Duff UMB), 2 lata.</w:t>
            </w:r>
          </w:p>
          <w:p>
            <w:pPr>
              <w:pStyle w:val="Pa5"/>
              <w:widowControl w:val="false"/>
              <w:tabs>
                <w:tab w:val="clear" w:pos="709"/>
                <w:tab w:val="left" w:pos="12240" w:leader="none"/>
              </w:tabs>
              <w:spacing w:lineRule="atLeast" w:line="200" w:before="160" w:after="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Wykonawca grantu (max 3)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5"/>
              <w:widowControl w:val="false"/>
              <w:tabs>
                <w:tab w:val="clear" w:pos="709"/>
                <w:tab w:val="left" w:pos="12240" w:leader="none"/>
              </w:tabs>
              <w:spacing w:lineRule="atLeast" w:line="200" w:before="160" w:after="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  <w:t>grant MNiSW „Pomniki – Lubelska Szkoła Filozoficzna”  (nr 0021/FIL/2016/90)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  <w:t>grant POKL for KUL (Paweł Kawalec): “Najlepsze praktyki w strategicznej transformacji KUL (UDA-POKL.04.01.01-00-113/10-00)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40" w:leader="none"/>
                <w:tab w:val="left" w:pos="567" w:leader="none"/>
              </w:tabs>
              <w:spacing w:lineRule="atLeast" w:line="200" w:before="0" w:after="240"/>
              <w:ind w:left="0" w:right="0" w:hanging="0"/>
              <w:jc w:val="both"/>
              <w:rPr>
                <w:rStyle w:val="Mocnowyrniony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</w:pPr>
            <w:r>
              <w:rPr>
                <w:rStyle w:val="Mocnowyrniony"/>
                <w:rFonts w:eastAsia="Times New Roman" w:cs="Times New Roman"/>
                <w:b w:val="false"/>
                <w:bCs w:val="false"/>
                <w:i w:val="false"/>
                <w:color w:val="000000"/>
                <w:sz w:val="24"/>
                <w:szCs w:val="24"/>
                <w:shd w:fill="FFFFFF" w:val="clear"/>
                <w:lang w:eastAsia="ar-SA"/>
              </w:rPr>
              <w:t>Grant MNiSzW (nr 661/P-DUN/2011r.) dla PTTA (ks. Andrzej Maryniarczyk) przyznany na przygotowanie i wydanie dwutomowej Encyklopedii Filozofii Polskiej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b/>
                <w:b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szCs w:val="24"/>
                <w:lang w:val="pl-PL" w:eastAsia="pl-PL" w:bidi="ar-SA"/>
              </w:rPr>
              <w:t>Doświadczenie w kierowaniu doktoratami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Liczba dotychczas wypromowanych doktorów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Liczba aktualnie otwartych przewodów doktorskich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5 (2 z nich zostana ukończone do 30.09.2021)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Liczba aktualnych doktorantów przed otwarciem przewodu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Liczba aktualnych doktorantów w Szkole Doktorskiej KUL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6D9F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b/>
                <w:b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szCs w:val="24"/>
                <w:lang w:val="pl-PL" w:eastAsia="pl-PL" w:bidi="ar-SA"/>
              </w:rPr>
              <w:t>Oferta i oczekiwania wobec kandydatów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Potencjalna tematyka doktoratów, które promotor chciałby prowadzić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Społeczna odpowiedzialność nauki i techniki, nauka, technika a wartości,  etyka badań naukowych, value-sensitive design, ocena techniki (technology assessment) osoba w społeczeństwie zinformatyzowanym, misja uniwersytetu w społeczeństwie wiedzy, trans- i posthumanizm, nauka w społeczeństwie i kulturze, nowe paradygmaty nauki i techniki; nauka a religia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Liczba doktorantów, których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 xml:space="preserve">promotor mógłby przyjąć 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 xml:space="preserve">Oczekiwania wobec kandydatów (np. zainteresowania naukowe, dotychczasowe osiągnięcia, kompetencje naukowe, społeczne, językowe) 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Wspólne z moimi zainteresowania badawcze, autentyczna pasja i odpowiedzialność, znajomość angielskiego 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Warunki lokalowe oferowane dla indywidualnej pracy doktoranta (np. laboratorium, wspólny pokój)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Wspólny pokój (dostępne 2 – jeden zasadnioczo przeznaczono wyłącznie do pracy indywidualnej)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Ewentualne środki finansowe na badania naukowe doktorantów (np. grant)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brak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imes New Roman" w:cs="Times New Roman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szCs w:val="24"/>
                <w:lang w:val="pl-PL" w:eastAsia="pl-PL" w:bidi="ar-SA"/>
              </w:rPr>
              <w:t>Forma kontaktu  (np. e-mail, godziny i miejsce konsultacji, link dostępu do Teams)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Style w:val="Czeinternetowe"/>
                <w:szCs w:val="24"/>
              </w:rPr>
            </w:pPr>
            <w:r>
              <w:rPr>
                <w:szCs w:val="24"/>
              </w:rPr>
              <w:t xml:space="preserve">E-mail: </w:t>
            </w:r>
            <w:hyperlink r:id="rId4">
              <w:r>
                <w:rPr>
                  <w:rStyle w:val="Czeinternetowe"/>
                  <w:szCs w:val="24"/>
                </w:rPr>
                <w:t>alekka@kul.pl</w:t>
              </w:r>
            </w:hyperlink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konsultacje: kod Teams: x6nq0y9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link: https://teams.microsoft.com/l/team/19%3aff6b327be06143c681d2058168c56438%40thread.tacv2/conversations?groupId=9b246b47-dad5-4040-b932-a1487cd3756d&amp;tenantId=be317277-3672-487f-8f68-2059ad90b435)</w:t>
            </w:r>
          </w:p>
        </w:tc>
      </w:tr>
    </w:tbl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6" w:header="284" w:top="1417" w:footer="201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5" w:type="dxa"/>
      <w:jc w:val="left"/>
      <w:tblInd w:w="-781" w:type="dxa"/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10775"/>
    </w:tblGrid>
    <w:tr>
      <w:trPr/>
      <w:tc>
        <w:tcPr>
          <w:tcW w:w="10775" w:type="dxa"/>
          <w:tcBorders>
            <w:top w:val="single" w:sz="6" w:space="0" w:color="000001"/>
          </w:tcBorders>
          <w:shd w:fill="FFFFFF" w:val="clear"/>
        </w:tcPr>
        <w:p>
          <w:pPr>
            <w:pStyle w:val="Stopka"/>
            <w:widowControl w:val="false"/>
            <w:jc w:val="center"/>
            <w:rPr>
              <w:rFonts w:ascii="Calibri" w:hAnsi="Calibri"/>
              <w:i/>
              <w:i/>
              <w:sz w:val="16"/>
              <w:lang w:val="de-DE"/>
            </w:rPr>
          </w:pPr>
          <w:r>
            <w:rPr>
              <w:rFonts w:ascii="Calibri" w:hAnsi="Calibri"/>
              <w:i/>
              <w:sz w:val="16"/>
              <w:lang w:val="de-DE"/>
            </w:rPr>
            <w:t>tel.: + 48 81 4454138,   e-mail: phd@kul.pl</w:t>
          </w:r>
        </w:p>
      </w:tc>
    </w:tr>
  </w:tbl>
  <w:p>
    <w:pPr>
      <w:pStyle w:val="Stopka"/>
      <w:rPr>
        <w:lang w:val="de-DE"/>
      </w:rPr>
    </w:pPr>
    <w:r>
      <w:rPr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-78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3755"/>
      <w:gridCol w:w="7016"/>
    </w:tblGrid>
    <w:tr>
      <w:trPr>
        <w:trHeight w:val="1555" w:hRule="atLeast"/>
      </w:trPr>
      <w:tc>
        <w:tcPr>
          <w:tcW w:w="3755" w:type="dxa"/>
          <w:tcBorders>
            <w:bottom w:val="single" w:sz="6" w:space="0" w:color="000001"/>
          </w:tcBorders>
          <w:shd w:fill="FFFFFF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983740" cy="68643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6" w:type="dxa"/>
          <w:tcBorders>
            <w:bottom w:val="single" w:sz="6" w:space="0" w:color="000001"/>
          </w:tcBorders>
          <w:shd w:fill="FFFFFF" w:val="clear"/>
          <w:vAlign w:val="center"/>
        </w:tcPr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Szkoła Doktorska KUL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Katolicki Uniwersytet Lubelski Jana Pawła II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Al. Racławickie 14</w:t>
          </w:r>
        </w:p>
        <w:p>
          <w:pPr>
            <w:pStyle w:val="Normal"/>
            <w:widowControl w:val="false"/>
            <w:rPr>
              <w:rFonts w:ascii="Calibri" w:hAnsi="Calibri"/>
              <w:color w:val="002060"/>
              <w:szCs w:val="24"/>
            </w:rPr>
          </w:pPr>
          <w:r>
            <w:rPr>
              <w:rFonts w:ascii="Calibri" w:hAnsi="Calibri"/>
              <w:color w:val="002060"/>
              <w:szCs w:val="24"/>
            </w:rPr>
            <w:t>20-950 Lublin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outlineLvl w:val="0"/>
    </w:pPr>
    <w:rPr/>
  </w:style>
  <w:style w:type="paragraph" w:styleId="Nagwek2">
    <w:name w:val="Heading 2"/>
    <w:basedOn w:val="Normal"/>
    <w:next w:val="Normal"/>
    <w:qFormat/>
    <w:pPr>
      <w:keepNext w:val="true"/>
      <w:spacing w:lineRule="auto" w:line="360"/>
      <w:ind w:left="6372" w:right="0" w:hanging="0"/>
      <w:jc w:val="center"/>
      <w:outlineLvl w:val="1"/>
    </w:pPr>
    <w:rPr>
      <w:i/>
      <w:iCs/>
      <w:szCs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outlineLvl w:val="2"/>
    </w:pPr>
    <w:rPr>
      <w:i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c1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6a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6aa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6aad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53dcc"/>
    <w:rPr>
      <w:color w:val="0000FF"/>
      <w:u w:val="single"/>
      <w:lang w:val="zxx" w:eastAsia="zxx" w:bidi="zxx"/>
    </w:rPr>
  </w:style>
  <w:style w:type="character" w:styleId="Domylnaczcionkaakapitu1" w:customStyle="1">
    <w:name w:val="Domyślna czcionka akapitu1"/>
    <w:qFormat/>
    <w:rsid w:val="004f48d8"/>
    <w:rPr/>
  </w:style>
  <w:style w:type="character" w:styleId="WW8Num5z0">
    <w:name w:val="WW8Num5z0"/>
    <w:qFormat/>
    <w:rPr>
      <w:rFonts w:ascii="Times New Roman" w:hAnsi="Times New Roman" w:eastAsia="Times New Roman" w:cs="Courier New"/>
      <w:color w:val="00000A"/>
      <w:sz w:val="24"/>
      <w:szCs w:val="24"/>
      <w:lang w:val="en-US" w:eastAsia="zxx" w:bidi="ar-SA"/>
    </w:rPr>
  </w:style>
  <w:style w:type="character" w:styleId="Mocnowyrniony">
    <w:name w:val="Mocno wyróżniony"/>
    <w:qFormat/>
    <w:rPr>
      <w:b/>
      <w:bCs/>
    </w:rPr>
  </w:style>
  <w:style w:type="character" w:styleId="WW8Num13z0">
    <w:name w:val="WW8Num13z0"/>
    <w:qFormat/>
    <w:rPr>
      <w:rFonts w:ascii="Times New Roman" w:hAnsi="Times New Roman" w:eastAsia="Times New Roman" w:cs="Courier New"/>
      <w:b w:val="false"/>
      <w:bCs w:val="false"/>
      <w:color w:val="00000A"/>
      <w:sz w:val="24"/>
      <w:szCs w:val="24"/>
      <w:lang w:val="en-US" w:eastAsia="zxx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lineRule="auto" w:line="360" w:before="0" w:after="140"/>
      <w:jc w:val="both"/>
    </w:pPr>
    <w:rPr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>
      <w:sz w:val="20"/>
    </w:rPr>
  </w:style>
  <w:style w:type="paragraph" w:styleId="Stopka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c1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2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1ef3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6aa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66aad"/>
    <w:pPr/>
    <w:rPr>
      <w:b/>
      <w:bCs/>
    </w:rPr>
  </w:style>
  <w:style w:type="paragraph" w:styleId="Normalny1" w:customStyle="1">
    <w:name w:val="Normalny1"/>
    <w:qFormat/>
    <w:rsid w:val="004f48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Pa5">
    <w:name w:val="Pa5"/>
    <w:basedOn w:val="Normal"/>
    <w:next w:val="Normal"/>
    <w:qFormat/>
    <w:pPr>
      <w:spacing w:lineRule="atLeast" w:line="201"/>
    </w:pPr>
    <w:rPr>
      <w:sz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3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4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ewa-agnieszka-lekka-kowalik,12832.html" TargetMode="External"/><Relationship Id="rId3" Type="http://schemas.openxmlformats.org/officeDocument/2006/relationships/hyperlink" Target="https://www.researchgate.net/profile/Agnieszka-Lekka-Kowalik" TargetMode="External"/><Relationship Id="rId4" Type="http://schemas.openxmlformats.org/officeDocument/2006/relationships/hyperlink" Target="mailto:alekka@kul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9871-17D3-4628-85E0-16793C92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KPWR.dot</Template>
  <TotalTime>4</TotalTime>
  <Application>LibreOffice/7.0.4.2$Windows_X86_64 LibreOffice_project/dcf040e67528d9187c66b2379df5ea4407429775</Application>
  <AppVersion>15.0000</AppVersion>
  <Pages>3</Pages>
  <Words>521</Words>
  <Characters>3810</Characters>
  <CharactersWithSpaces>4290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2021-04-08T12:50:00Z</dcterms:created>
  <dc:creator>Gorbaniuk</dc:creator>
  <dc:description/>
  <dc:language>pl-PL</dc:language>
  <cp:lastModifiedBy/>
  <cp:lastPrinted>2016-05-17T19:26:00Z</cp:lastPrinted>
  <dcterms:modified xsi:type="dcterms:W3CDTF">2021-06-28T15:51:30Z</dcterms:modified>
  <cp:revision>3</cp:revision>
  <dc:subject/>
  <dc:title/>
</cp:coreProperties>
</file>